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6BBC8E6E" w:rsidR="007F4BA8" w:rsidRPr="008F5ADE"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841E36">
        <w:rPr>
          <w:rFonts w:ascii="Times New Roman" w:hAnsi="Times New Roman"/>
          <w:b/>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8F5ADE">
        <w:rPr>
          <w:rFonts w:ascii="Times New Roman" w:hAnsi="Times New Roman"/>
          <w:b/>
          <w:iCs/>
          <w:sz w:val="24"/>
          <w:szCs w:val="24"/>
        </w:rPr>
        <w:tab/>
        <w:t xml:space="preserve">       </w:t>
      </w:r>
      <w:r w:rsidR="00F12FF3" w:rsidRPr="008F5ADE">
        <w:rPr>
          <w:rFonts w:ascii="Times New Roman" w:hAnsi="Times New Roman"/>
          <w:b/>
          <w:iCs/>
          <w:sz w:val="24"/>
          <w:szCs w:val="24"/>
        </w:rPr>
        <w:t>27 January 2025</w:t>
      </w:r>
    </w:p>
    <w:p w14:paraId="4C9CD510" w14:textId="77777777" w:rsidR="007F4BA8" w:rsidRDefault="007F4BA8" w:rsidP="007F4BA8">
      <w:pPr>
        <w:spacing w:after="0"/>
        <w:rPr>
          <w:rFonts w:ascii="Times New Roman" w:hAnsi="Times New Roman"/>
          <w:b/>
          <w:sz w:val="24"/>
          <w:szCs w:val="24"/>
        </w:rPr>
      </w:pPr>
    </w:p>
    <w:p w14:paraId="37A6A094" w14:textId="00203398"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2CEF25AA" w:rsidR="007F4BA8" w:rsidRPr="00841E36"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F12FF3">
        <w:rPr>
          <w:rFonts w:ascii="Times New Roman" w:hAnsi="Times New Roman"/>
          <w:b/>
          <w:sz w:val="24"/>
          <w:szCs w:val="24"/>
        </w:rPr>
        <w:t>25BON00</w:t>
      </w:r>
      <w:r w:rsidR="005274C3">
        <w:rPr>
          <w:rFonts w:ascii="Times New Roman" w:hAnsi="Times New Roman"/>
          <w:b/>
          <w:sz w:val="24"/>
          <w:szCs w:val="24"/>
        </w:rPr>
        <w:t>3</w:t>
      </w:r>
      <w:r w:rsidR="00F12FF3">
        <w:rPr>
          <w:rFonts w:ascii="Times New Roman" w:hAnsi="Times New Roman"/>
          <w:b/>
          <w:sz w:val="24"/>
          <w:szCs w:val="24"/>
        </w:rPr>
        <w:t xml:space="preserve"> MFR PH2 Unit 18 R</w:t>
      </w:r>
      <w:r w:rsidR="008F5ADE">
        <w:rPr>
          <w:rFonts w:ascii="Times New Roman" w:hAnsi="Times New Roman"/>
          <w:b/>
          <w:sz w:val="24"/>
          <w:szCs w:val="24"/>
        </w:rPr>
        <w:t>eturn to Service</w:t>
      </w:r>
      <w:r w:rsidR="00F12FF3">
        <w:rPr>
          <w:rFonts w:ascii="Times New Roman" w:hAnsi="Times New Roman"/>
          <w:b/>
          <w:sz w:val="24"/>
          <w:szCs w:val="24"/>
        </w:rPr>
        <w:t xml:space="preserve"> Delay</w:t>
      </w:r>
    </w:p>
    <w:p w14:paraId="544986A8" w14:textId="77777777" w:rsidR="007F4BA8" w:rsidRDefault="007F4BA8" w:rsidP="007F4BA8">
      <w:pPr>
        <w:spacing w:after="0"/>
        <w:rPr>
          <w:rFonts w:ascii="Times New Roman" w:hAnsi="Times New Roman"/>
          <w:sz w:val="24"/>
          <w:szCs w:val="24"/>
        </w:rPr>
      </w:pPr>
    </w:p>
    <w:p w14:paraId="7CBB1358" w14:textId="77777777" w:rsidR="007254A9" w:rsidRDefault="00F12FF3" w:rsidP="007F4BA8">
      <w:pPr>
        <w:spacing w:after="0"/>
        <w:rPr>
          <w:rFonts w:ascii="Times New Roman" w:hAnsi="Times New Roman"/>
          <w:sz w:val="24"/>
          <w:szCs w:val="24"/>
        </w:rPr>
      </w:pPr>
      <w:r>
        <w:rPr>
          <w:rFonts w:ascii="Times New Roman" w:hAnsi="Times New Roman"/>
          <w:sz w:val="24"/>
          <w:szCs w:val="24"/>
        </w:rPr>
        <w:t xml:space="preserve">Powerhouse 2 Main Priority Unit 18 was taken out of service at 0756 on 16 December 2024 as a planned outage (P.O.) to undergo a 4-Year Overhaul. The original return to service (RTS) date for Unit 18 was scheduled for 28 February 2025 to be operable as one of the priority units for Powerhouse 2 for the 1 March 2025 start of Fish Passage Season according to guidance </w:t>
      </w:r>
      <w:r w:rsidR="001F7A02">
        <w:rPr>
          <w:rFonts w:ascii="Times New Roman" w:hAnsi="Times New Roman"/>
          <w:sz w:val="24"/>
          <w:szCs w:val="24"/>
        </w:rPr>
        <w:t xml:space="preserve">for Turbine Unit Operating Order found in 2024 FPP Section 4.1, Table BON-13.  </w:t>
      </w:r>
    </w:p>
    <w:p w14:paraId="0E7A91ED" w14:textId="77777777" w:rsidR="007254A9" w:rsidRPr="004B6412" w:rsidRDefault="007254A9" w:rsidP="007F4BA8">
      <w:pPr>
        <w:spacing w:after="0"/>
        <w:rPr>
          <w:rFonts w:ascii="Times New Roman" w:hAnsi="Times New Roman"/>
          <w:b/>
          <w:bCs/>
          <w:sz w:val="24"/>
          <w:szCs w:val="24"/>
        </w:rPr>
      </w:pPr>
    </w:p>
    <w:p w14:paraId="5479E7A6" w14:textId="408AB31C" w:rsidR="007254A9" w:rsidRDefault="004B6412" w:rsidP="007F4BA8">
      <w:pPr>
        <w:spacing w:after="0"/>
        <w:rPr>
          <w:rFonts w:ascii="Times New Roman" w:hAnsi="Times New Roman"/>
          <w:b/>
          <w:bCs/>
          <w:sz w:val="24"/>
          <w:szCs w:val="24"/>
        </w:rPr>
      </w:pPr>
      <w:r w:rsidRPr="004B6412">
        <w:rPr>
          <w:rFonts w:ascii="Times New Roman" w:hAnsi="Times New Roman"/>
          <w:b/>
          <w:bCs/>
          <w:sz w:val="24"/>
          <w:szCs w:val="24"/>
        </w:rPr>
        <w:t>Table BON-13 from 2024 FPP:</w:t>
      </w:r>
    </w:p>
    <w:tbl>
      <w:tblPr>
        <w:tblW w:w="101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23"/>
        <w:gridCol w:w="5158"/>
      </w:tblGrid>
      <w:tr w:rsidR="00283B22" w14:paraId="4AEE2F6E" w14:textId="77777777" w:rsidTr="009D03A3">
        <w:trPr>
          <w:cantSplit/>
          <w:trHeight w:val="236"/>
        </w:trPr>
        <w:tc>
          <w:tcPr>
            <w:tcW w:w="502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6DAC51E7" w14:textId="77777777" w:rsidR="00283B22" w:rsidRDefault="00283B22" w:rsidP="009D03A3">
            <w:pPr>
              <w:keepNext/>
              <w:snapToGrid w:val="0"/>
              <w:spacing w:after="0" w:line="240" w:lineRule="auto"/>
              <w:ind w:left="576" w:hanging="576"/>
              <w:jc w:val="center"/>
              <w:outlineLvl w:val="1"/>
              <w:rPr>
                <w:rFonts w:eastAsia="Times New Roman" w:cs="Calibri"/>
                <w:b/>
                <w:bCs/>
                <w:iCs/>
              </w:rPr>
            </w:pPr>
            <w:r>
              <w:rPr>
                <w:rFonts w:eastAsia="Times New Roman" w:cs="Calibri"/>
                <w:b/>
                <w:bCs/>
                <w:iCs/>
              </w:rPr>
              <w:t>PERIOD / OPERATION</w:t>
            </w:r>
          </w:p>
        </w:tc>
        <w:tc>
          <w:tcPr>
            <w:tcW w:w="5158" w:type="dxa"/>
            <w:tcBorders>
              <w:top w:val="single" w:sz="12" w:space="0" w:color="auto"/>
              <w:left w:val="single" w:sz="4" w:space="0" w:color="auto"/>
              <w:bottom w:val="single" w:sz="12" w:space="0" w:color="auto"/>
              <w:right w:val="single" w:sz="12" w:space="0" w:color="auto"/>
            </w:tcBorders>
            <w:shd w:val="clear" w:color="auto" w:fill="D9D9D9"/>
            <w:vAlign w:val="center"/>
            <w:hideMark/>
          </w:tcPr>
          <w:p w14:paraId="06CEE9DB" w14:textId="77777777" w:rsidR="00283B22" w:rsidRDefault="00283B22" w:rsidP="009D03A3">
            <w:pPr>
              <w:keepNext/>
              <w:snapToGrid w:val="0"/>
              <w:spacing w:after="0" w:line="240" w:lineRule="auto"/>
              <w:ind w:left="576" w:hanging="576"/>
              <w:jc w:val="center"/>
              <w:outlineLvl w:val="1"/>
              <w:rPr>
                <w:rFonts w:eastAsia="Times New Roman" w:cs="Calibri"/>
                <w:b/>
                <w:bCs/>
                <w:iCs/>
              </w:rPr>
            </w:pPr>
            <w:r>
              <w:rPr>
                <w:rFonts w:eastAsia="Times New Roman" w:cs="Calibri"/>
                <w:b/>
                <w:bCs/>
                <w:iCs/>
              </w:rPr>
              <w:t>UNIT PRIORITY ORDER</w:t>
            </w:r>
          </w:p>
        </w:tc>
      </w:tr>
      <w:tr w:rsidR="00283B22" w14:paraId="5A984C99" w14:textId="77777777" w:rsidTr="009D03A3">
        <w:trPr>
          <w:cantSplit/>
          <w:trHeight w:val="637"/>
        </w:trPr>
        <w:tc>
          <w:tcPr>
            <w:tcW w:w="5023" w:type="dxa"/>
            <w:tcBorders>
              <w:top w:val="single" w:sz="12" w:space="0" w:color="auto"/>
              <w:left w:val="single" w:sz="12" w:space="0" w:color="auto"/>
              <w:bottom w:val="single" w:sz="4" w:space="0" w:color="auto"/>
              <w:right w:val="single" w:sz="4" w:space="0" w:color="auto"/>
            </w:tcBorders>
            <w:vAlign w:val="center"/>
            <w:hideMark/>
          </w:tcPr>
          <w:p w14:paraId="2E9E63A2" w14:textId="77777777" w:rsidR="00283B22" w:rsidRDefault="00283B22" w:rsidP="009D03A3">
            <w:pPr>
              <w:keepNext/>
              <w:spacing w:after="0" w:line="240" w:lineRule="auto"/>
              <w:jc w:val="center"/>
              <w:rPr>
                <w:rFonts w:eastAsia="Times New Roman" w:cs="Calibri"/>
              </w:rPr>
            </w:pPr>
            <w:r>
              <w:rPr>
                <w:rFonts w:eastAsia="Times New Roman" w:cs="Calibri"/>
              </w:rPr>
              <w:t xml:space="preserve">Year-Round: </w:t>
            </w:r>
          </w:p>
          <w:p w14:paraId="0D60FB12" w14:textId="77777777" w:rsidR="00283B22" w:rsidRDefault="00283B22" w:rsidP="009D03A3">
            <w:pPr>
              <w:keepNext/>
              <w:spacing w:after="0" w:line="240" w:lineRule="auto"/>
              <w:jc w:val="center"/>
              <w:rPr>
                <w:rFonts w:eastAsia="Times New Roman" w:cs="Calibri"/>
              </w:rPr>
            </w:pPr>
            <w:r>
              <w:rPr>
                <w:rFonts w:eastAsia="Times New Roman" w:cs="Calibri"/>
              </w:rPr>
              <w:t>Fish Ladders in service; PH1 Ladder out of service</w:t>
            </w:r>
          </w:p>
        </w:tc>
        <w:tc>
          <w:tcPr>
            <w:tcW w:w="5158" w:type="dxa"/>
            <w:tcBorders>
              <w:top w:val="single" w:sz="4" w:space="0" w:color="auto"/>
              <w:left w:val="single" w:sz="4" w:space="0" w:color="auto"/>
              <w:bottom w:val="single" w:sz="4" w:space="0" w:color="auto"/>
              <w:right w:val="single" w:sz="12" w:space="0" w:color="auto"/>
            </w:tcBorders>
            <w:vAlign w:val="center"/>
            <w:hideMark/>
          </w:tcPr>
          <w:p w14:paraId="5C8CA460" w14:textId="77777777" w:rsidR="00283B22" w:rsidRDefault="00283B22" w:rsidP="009D03A3">
            <w:pPr>
              <w:keepNext/>
              <w:spacing w:after="0" w:line="240" w:lineRule="auto"/>
              <w:rPr>
                <w:rFonts w:eastAsia="Times New Roman" w:cs="Calibri"/>
              </w:rPr>
            </w:pPr>
            <w:r>
              <w:rPr>
                <w:rFonts w:eastAsia="Times New Roman" w:cs="Calibri"/>
                <w:b/>
              </w:rPr>
              <w:t>PH2</w:t>
            </w:r>
            <w:r>
              <w:rPr>
                <w:rFonts w:eastAsia="Times New Roman" w:cs="Calibri"/>
              </w:rPr>
              <w:t xml:space="preserve">: 11, 18, 12, 17, 13, 14, 15, 16, </w:t>
            </w:r>
          </w:p>
          <w:p w14:paraId="1A8AD19E" w14:textId="77777777" w:rsidR="00283B22" w:rsidRDefault="00283B22" w:rsidP="009D03A3">
            <w:pPr>
              <w:keepNext/>
              <w:spacing w:after="0" w:line="240" w:lineRule="auto"/>
              <w:rPr>
                <w:rFonts w:eastAsia="Times New Roman" w:cs="Calibri"/>
              </w:rPr>
            </w:pPr>
            <w:r>
              <w:rPr>
                <w:rFonts w:eastAsia="Times New Roman" w:cs="Calibri"/>
                <w:b/>
              </w:rPr>
              <w:t>Then</w:t>
            </w:r>
            <w:r>
              <w:rPr>
                <w:rFonts w:eastAsia="Times New Roman" w:cs="Calibri"/>
              </w:rPr>
              <w:t xml:space="preserve"> </w:t>
            </w:r>
            <w:r>
              <w:rPr>
                <w:rFonts w:eastAsia="Times New Roman" w:cs="Calibri"/>
                <w:b/>
              </w:rPr>
              <w:t>PH1</w:t>
            </w:r>
            <w:r>
              <w:rPr>
                <w:rFonts w:eastAsia="Times New Roman" w:cs="Calibri"/>
              </w:rPr>
              <w:t>: 1, 10, 3, 6, 9, 4, 5, 8, 7, 2</w:t>
            </w:r>
          </w:p>
        </w:tc>
      </w:tr>
      <w:tr w:rsidR="00283B22" w14:paraId="1952B54D" w14:textId="77777777" w:rsidTr="009D03A3">
        <w:trPr>
          <w:cantSplit/>
          <w:trHeight w:val="645"/>
        </w:trPr>
        <w:tc>
          <w:tcPr>
            <w:tcW w:w="5023" w:type="dxa"/>
            <w:tcBorders>
              <w:top w:val="single" w:sz="12" w:space="0" w:color="auto"/>
              <w:left w:val="single" w:sz="12" w:space="0" w:color="auto"/>
              <w:bottom w:val="single" w:sz="12" w:space="0" w:color="auto"/>
              <w:right w:val="single" w:sz="4" w:space="0" w:color="auto"/>
            </w:tcBorders>
            <w:vAlign w:val="center"/>
            <w:hideMark/>
          </w:tcPr>
          <w:p w14:paraId="1FBF7E3F" w14:textId="77777777" w:rsidR="00283B22" w:rsidRDefault="00283B22" w:rsidP="009D03A3">
            <w:pPr>
              <w:keepNext/>
              <w:spacing w:after="0" w:line="240" w:lineRule="auto"/>
              <w:jc w:val="center"/>
              <w:rPr>
                <w:rFonts w:eastAsia="Times New Roman" w:cs="Calibri"/>
                <w:bCs/>
              </w:rPr>
            </w:pPr>
            <w:r>
              <w:rPr>
                <w:rFonts w:eastAsia="Times New Roman" w:cs="Calibri"/>
                <w:bCs/>
              </w:rPr>
              <w:t>PH2 Fish Ladder out of service</w:t>
            </w:r>
          </w:p>
        </w:tc>
        <w:tc>
          <w:tcPr>
            <w:tcW w:w="5158" w:type="dxa"/>
            <w:tcBorders>
              <w:top w:val="single" w:sz="12" w:space="0" w:color="auto"/>
              <w:left w:val="single" w:sz="4" w:space="0" w:color="auto"/>
              <w:bottom w:val="single" w:sz="12" w:space="0" w:color="auto"/>
              <w:right w:val="single" w:sz="12" w:space="0" w:color="auto"/>
            </w:tcBorders>
            <w:vAlign w:val="center"/>
            <w:hideMark/>
          </w:tcPr>
          <w:p w14:paraId="105B099C" w14:textId="77777777" w:rsidR="00283B22" w:rsidRDefault="00283B22" w:rsidP="009D03A3">
            <w:pPr>
              <w:keepNext/>
              <w:spacing w:after="0" w:line="240" w:lineRule="auto"/>
              <w:rPr>
                <w:rFonts w:eastAsia="Times New Roman" w:cs="Calibri"/>
              </w:rPr>
            </w:pPr>
            <w:r>
              <w:rPr>
                <w:rFonts w:eastAsia="Times New Roman" w:cs="Calibri"/>
                <w:b/>
              </w:rPr>
              <w:t>PH1</w:t>
            </w:r>
            <w:r>
              <w:rPr>
                <w:rFonts w:eastAsia="Times New Roman" w:cs="Calibri"/>
              </w:rPr>
              <w:t xml:space="preserve">: 1, 10, 3, 6, 9, 4, 5, 8, 7, 2, </w:t>
            </w:r>
          </w:p>
          <w:p w14:paraId="0F8C6D88" w14:textId="77777777" w:rsidR="00283B22" w:rsidRDefault="00283B22" w:rsidP="009D03A3">
            <w:pPr>
              <w:keepNext/>
              <w:spacing w:after="0" w:line="240" w:lineRule="auto"/>
              <w:rPr>
                <w:rFonts w:eastAsia="Times New Roman" w:cs="Calibri"/>
              </w:rPr>
            </w:pPr>
            <w:r>
              <w:rPr>
                <w:rFonts w:eastAsia="Times New Roman" w:cs="Calibri"/>
                <w:b/>
              </w:rPr>
              <w:t>Then</w:t>
            </w:r>
            <w:r>
              <w:rPr>
                <w:rFonts w:eastAsia="Times New Roman" w:cs="Calibri"/>
              </w:rPr>
              <w:t xml:space="preserve"> </w:t>
            </w:r>
            <w:r>
              <w:rPr>
                <w:rFonts w:eastAsia="Times New Roman" w:cs="Calibri"/>
                <w:b/>
              </w:rPr>
              <w:t>PH2</w:t>
            </w:r>
            <w:r>
              <w:rPr>
                <w:rFonts w:eastAsia="Times New Roman" w:cs="Calibri"/>
              </w:rPr>
              <w:t>: 11, 18, 12, 17, 13, 14, 15, 16</w:t>
            </w:r>
          </w:p>
        </w:tc>
      </w:tr>
      <w:tr w:rsidR="00283B22" w14:paraId="599DF2AE" w14:textId="77777777" w:rsidTr="009D03A3">
        <w:trPr>
          <w:cantSplit/>
          <w:trHeight w:val="868"/>
        </w:trPr>
        <w:tc>
          <w:tcPr>
            <w:tcW w:w="5023" w:type="dxa"/>
            <w:tcBorders>
              <w:top w:val="single" w:sz="12" w:space="0" w:color="auto"/>
              <w:left w:val="single" w:sz="12" w:space="0" w:color="auto"/>
              <w:bottom w:val="single" w:sz="12" w:space="0" w:color="auto"/>
              <w:right w:val="single" w:sz="4" w:space="0" w:color="auto"/>
            </w:tcBorders>
            <w:vAlign w:val="center"/>
            <w:hideMark/>
          </w:tcPr>
          <w:p w14:paraId="15021BF9" w14:textId="77777777" w:rsidR="00283B22" w:rsidRDefault="00283B22" w:rsidP="009D03A3">
            <w:pPr>
              <w:keepNext/>
              <w:spacing w:after="0" w:line="240" w:lineRule="auto"/>
              <w:jc w:val="center"/>
              <w:rPr>
                <w:rFonts w:eastAsia="Times New Roman" w:cs="Calibri"/>
                <w:bCs/>
              </w:rPr>
            </w:pPr>
            <w:r>
              <w:rPr>
                <w:rFonts w:eastAsia="Times New Roman" w:cs="Calibri"/>
                <w:bCs/>
              </w:rPr>
              <w:t xml:space="preserve">Split Flows </w:t>
            </w:r>
          </w:p>
          <w:p w14:paraId="0CF7E080" w14:textId="77777777" w:rsidR="00283B22" w:rsidRPr="00FD415F" w:rsidRDefault="00283B22" w:rsidP="009D03A3">
            <w:pPr>
              <w:keepNext/>
              <w:spacing w:after="0" w:line="240" w:lineRule="auto"/>
              <w:jc w:val="center"/>
              <w:rPr>
                <w:rFonts w:eastAsia="Times New Roman" w:cs="Calibri"/>
              </w:rPr>
            </w:pPr>
            <w:r>
              <w:rPr>
                <w:rFonts w:eastAsia="Times New Roman" w:cs="Calibri"/>
                <w:bCs/>
              </w:rPr>
              <w:t xml:space="preserve">(see </w:t>
            </w:r>
            <w:r>
              <w:rPr>
                <w:rFonts w:eastAsia="Times New Roman" w:cs="Calibri"/>
                <w:b/>
                <w:bCs/>
              </w:rPr>
              <w:t>section 2.1.5</w:t>
            </w:r>
            <w:r>
              <w:rPr>
                <w:rFonts w:eastAsia="Times New Roman" w:cs="Calibri"/>
              </w:rPr>
              <w:t>)</w:t>
            </w:r>
          </w:p>
        </w:tc>
        <w:tc>
          <w:tcPr>
            <w:tcW w:w="5158" w:type="dxa"/>
            <w:tcBorders>
              <w:top w:val="single" w:sz="12" w:space="0" w:color="auto"/>
              <w:left w:val="single" w:sz="4" w:space="0" w:color="auto"/>
              <w:bottom w:val="single" w:sz="12" w:space="0" w:color="auto"/>
              <w:right w:val="single" w:sz="12" w:space="0" w:color="auto"/>
            </w:tcBorders>
            <w:vAlign w:val="center"/>
            <w:hideMark/>
          </w:tcPr>
          <w:p w14:paraId="1C6C3517" w14:textId="77777777" w:rsidR="00283B22" w:rsidRDefault="00283B22" w:rsidP="009D03A3">
            <w:pPr>
              <w:keepNext/>
              <w:spacing w:after="0" w:line="240" w:lineRule="auto"/>
              <w:rPr>
                <w:rFonts w:eastAsia="Times New Roman" w:cs="Calibri"/>
              </w:rPr>
            </w:pPr>
            <w:r>
              <w:rPr>
                <w:rFonts w:eastAsia="Times New Roman" w:cs="Calibri"/>
                <w:b/>
              </w:rPr>
              <w:t>PH1</w:t>
            </w:r>
            <w:r>
              <w:rPr>
                <w:rFonts w:eastAsia="Times New Roman" w:cs="Calibri"/>
              </w:rPr>
              <w:t xml:space="preserve">: 1, 10 (or top two available PH1 priority units), </w:t>
            </w:r>
          </w:p>
          <w:p w14:paraId="7E3D7BBC" w14:textId="77777777" w:rsidR="00283B22" w:rsidRDefault="00283B22" w:rsidP="009D03A3">
            <w:pPr>
              <w:keepNext/>
              <w:spacing w:after="0" w:line="240" w:lineRule="auto"/>
              <w:rPr>
                <w:rFonts w:eastAsia="Times New Roman" w:cs="Calibri"/>
              </w:rPr>
            </w:pPr>
            <w:r>
              <w:rPr>
                <w:rFonts w:eastAsia="Times New Roman" w:cs="Calibri"/>
                <w:b/>
              </w:rPr>
              <w:t>Then PH2</w:t>
            </w:r>
            <w:r>
              <w:rPr>
                <w:rFonts w:eastAsia="Times New Roman" w:cs="Calibri"/>
              </w:rPr>
              <w:t xml:space="preserve">: 11, 18, 12, 17, 13, 14, 15, 16, </w:t>
            </w:r>
          </w:p>
          <w:p w14:paraId="17C0C6F9" w14:textId="77777777" w:rsidR="00283B22" w:rsidRDefault="00283B22" w:rsidP="009D03A3">
            <w:pPr>
              <w:keepNext/>
              <w:spacing w:after="0" w:line="240" w:lineRule="auto"/>
              <w:rPr>
                <w:rFonts w:eastAsia="Times New Roman" w:cs="Calibri"/>
              </w:rPr>
            </w:pPr>
            <w:r>
              <w:rPr>
                <w:rFonts w:eastAsia="Times New Roman" w:cs="Calibri"/>
                <w:b/>
              </w:rPr>
              <w:t>Then</w:t>
            </w:r>
            <w:r>
              <w:rPr>
                <w:rFonts w:eastAsia="Times New Roman" w:cs="Calibri"/>
              </w:rPr>
              <w:t xml:space="preserve"> </w:t>
            </w:r>
            <w:r>
              <w:rPr>
                <w:rFonts w:eastAsia="Times New Roman" w:cs="Calibri"/>
                <w:b/>
              </w:rPr>
              <w:t>PH1:</w:t>
            </w:r>
            <w:r>
              <w:rPr>
                <w:rFonts w:eastAsia="Times New Roman" w:cs="Calibri"/>
              </w:rPr>
              <w:t xml:space="preserve"> 3, 6, 9, 4, 5, 8, 7, 2</w:t>
            </w:r>
          </w:p>
        </w:tc>
      </w:tr>
      <w:tr w:rsidR="00283B22" w14:paraId="383DCF4C" w14:textId="77777777" w:rsidTr="009D03A3">
        <w:trPr>
          <w:cantSplit/>
          <w:trHeight w:val="346"/>
        </w:trPr>
        <w:tc>
          <w:tcPr>
            <w:tcW w:w="5023" w:type="dxa"/>
            <w:tcBorders>
              <w:top w:val="single" w:sz="12" w:space="0" w:color="auto"/>
              <w:left w:val="single" w:sz="12" w:space="0" w:color="auto"/>
              <w:bottom w:val="single" w:sz="4" w:space="0" w:color="808080"/>
              <w:right w:val="single" w:sz="4" w:space="0" w:color="auto"/>
            </w:tcBorders>
            <w:vAlign w:val="center"/>
            <w:hideMark/>
          </w:tcPr>
          <w:p w14:paraId="1B73EE35" w14:textId="77777777" w:rsidR="00283B22" w:rsidRDefault="00283B22" w:rsidP="009D03A3">
            <w:pPr>
              <w:keepNext/>
              <w:spacing w:after="0" w:line="240" w:lineRule="auto"/>
              <w:jc w:val="center"/>
              <w:rPr>
                <w:rFonts w:eastAsia="Times New Roman" w:cs="Calibri"/>
                <w:bCs/>
              </w:rPr>
            </w:pPr>
            <w:r>
              <w:rPr>
                <w:rFonts w:eastAsia="Times New Roman" w:cs="Calibri"/>
                <w:bCs/>
              </w:rPr>
              <w:t xml:space="preserve">PH1 Unit Priority </w:t>
            </w:r>
          </w:p>
        </w:tc>
        <w:tc>
          <w:tcPr>
            <w:tcW w:w="5158" w:type="dxa"/>
            <w:tcBorders>
              <w:top w:val="single" w:sz="12" w:space="0" w:color="auto"/>
              <w:left w:val="single" w:sz="4" w:space="0" w:color="auto"/>
              <w:bottom w:val="single" w:sz="4" w:space="0" w:color="808080"/>
              <w:right w:val="single" w:sz="12" w:space="0" w:color="auto"/>
            </w:tcBorders>
            <w:vAlign w:val="center"/>
            <w:hideMark/>
          </w:tcPr>
          <w:p w14:paraId="4986176F" w14:textId="77777777" w:rsidR="00283B22" w:rsidRDefault="00283B22" w:rsidP="009D03A3">
            <w:pPr>
              <w:keepNext/>
              <w:spacing w:after="0" w:line="240" w:lineRule="auto"/>
              <w:rPr>
                <w:rFonts w:eastAsia="Times New Roman" w:cs="Calibri"/>
              </w:rPr>
            </w:pPr>
            <w:r>
              <w:rPr>
                <w:rFonts w:eastAsia="Times New Roman" w:cs="Calibri"/>
              </w:rPr>
              <w:t>1, 10, 3, 6, 9, 4, 5, 8, 7, 2</w:t>
            </w:r>
          </w:p>
        </w:tc>
      </w:tr>
      <w:tr w:rsidR="00283B22" w14:paraId="34CC5A22" w14:textId="77777777" w:rsidTr="009D03A3">
        <w:trPr>
          <w:cantSplit/>
          <w:trHeight w:val="363"/>
        </w:trPr>
        <w:tc>
          <w:tcPr>
            <w:tcW w:w="5023" w:type="dxa"/>
            <w:tcBorders>
              <w:top w:val="single" w:sz="4" w:space="0" w:color="808080"/>
              <w:left w:val="single" w:sz="12" w:space="0" w:color="auto"/>
              <w:bottom w:val="single" w:sz="12" w:space="0" w:color="auto"/>
              <w:right w:val="single" w:sz="4" w:space="0" w:color="auto"/>
            </w:tcBorders>
            <w:vAlign w:val="center"/>
            <w:hideMark/>
          </w:tcPr>
          <w:p w14:paraId="36466583" w14:textId="77777777" w:rsidR="00283B22" w:rsidRDefault="00283B22" w:rsidP="009D03A3">
            <w:pPr>
              <w:spacing w:after="0" w:line="240" w:lineRule="auto"/>
              <w:jc w:val="center"/>
              <w:rPr>
                <w:rFonts w:eastAsia="Times New Roman" w:cs="Calibri"/>
                <w:bCs/>
              </w:rPr>
            </w:pPr>
            <w:r>
              <w:rPr>
                <w:rFonts w:eastAsia="Times New Roman" w:cs="Calibri"/>
                <w:bCs/>
              </w:rPr>
              <w:t xml:space="preserve">PH2 Unit Priority </w:t>
            </w:r>
          </w:p>
        </w:tc>
        <w:tc>
          <w:tcPr>
            <w:tcW w:w="5158" w:type="dxa"/>
            <w:tcBorders>
              <w:top w:val="single" w:sz="4" w:space="0" w:color="808080"/>
              <w:left w:val="single" w:sz="4" w:space="0" w:color="auto"/>
              <w:bottom w:val="single" w:sz="12" w:space="0" w:color="auto"/>
              <w:right w:val="single" w:sz="12" w:space="0" w:color="auto"/>
            </w:tcBorders>
            <w:vAlign w:val="center"/>
            <w:hideMark/>
          </w:tcPr>
          <w:p w14:paraId="45B11055" w14:textId="77777777" w:rsidR="00283B22" w:rsidRDefault="00283B22" w:rsidP="009D03A3">
            <w:pPr>
              <w:spacing w:after="0" w:line="240" w:lineRule="auto"/>
              <w:rPr>
                <w:rFonts w:eastAsia="Times New Roman" w:cs="Calibri"/>
              </w:rPr>
            </w:pPr>
            <w:r>
              <w:rPr>
                <w:rFonts w:eastAsia="Times New Roman" w:cs="Calibri"/>
              </w:rPr>
              <w:t>11, 18, 12, 17, 13, 14, 15, 16</w:t>
            </w:r>
          </w:p>
        </w:tc>
      </w:tr>
    </w:tbl>
    <w:p w14:paraId="23C89007" w14:textId="77777777" w:rsidR="00283B22" w:rsidRPr="004B6412" w:rsidRDefault="00283B22" w:rsidP="007F4BA8">
      <w:pPr>
        <w:spacing w:after="0"/>
        <w:rPr>
          <w:rFonts w:ascii="Times New Roman" w:hAnsi="Times New Roman"/>
          <w:b/>
          <w:bCs/>
          <w:sz w:val="24"/>
          <w:szCs w:val="24"/>
        </w:rPr>
      </w:pPr>
    </w:p>
    <w:p w14:paraId="41788203" w14:textId="77777777" w:rsidR="007254A9" w:rsidRDefault="007254A9" w:rsidP="007F4BA8">
      <w:pPr>
        <w:spacing w:after="0"/>
        <w:rPr>
          <w:rFonts w:ascii="Times New Roman" w:hAnsi="Times New Roman"/>
          <w:sz w:val="24"/>
          <w:szCs w:val="24"/>
        </w:rPr>
      </w:pPr>
    </w:p>
    <w:p w14:paraId="56A1DE76" w14:textId="3A3135B8" w:rsidR="007254A9" w:rsidRDefault="001F7A02" w:rsidP="007F4BA8">
      <w:pPr>
        <w:spacing w:after="0"/>
        <w:rPr>
          <w:rFonts w:ascii="Times New Roman" w:hAnsi="Times New Roman"/>
          <w:sz w:val="24"/>
          <w:szCs w:val="24"/>
        </w:rPr>
      </w:pPr>
      <w:r>
        <w:rPr>
          <w:rFonts w:ascii="Times New Roman" w:hAnsi="Times New Roman"/>
          <w:sz w:val="24"/>
          <w:szCs w:val="24"/>
        </w:rPr>
        <w:t>However, during the completion of Unit 18 overhaul maintenance and testing, PH2 maintenance personnel discovered a stator ground, which will require replacement of the stator bar</w:t>
      </w:r>
      <w:r w:rsidR="00AB4932">
        <w:rPr>
          <w:rFonts w:ascii="Times New Roman" w:hAnsi="Times New Roman"/>
          <w:sz w:val="24"/>
          <w:szCs w:val="24"/>
        </w:rPr>
        <w:t>s</w:t>
      </w:r>
      <w:r>
        <w:rPr>
          <w:rFonts w:ascii="Times New Roman" w:hAnsi="Times New Roman"/>
          <w:sz w:val="24"/>
          <w:szCs w:val="24"/>
        </w:rPr>
        <w:t xml:space="preserve"> associated with the ground to enable Unit 18 to be returned to service. This stator ground and the required materials and labor to repair the ground will delay the completion of Unit 18’s 4-Year Overhaul and RTS date. </w:t>
      </w:r>
    </w:p>
    <w:p w14:paraId="28E7BF56" w14:textId="77777777" w:rsidR="007254A9" w:rsidRDefault="007254A9" w:rsidP="007F4BA8">
      <w:pPr>
        <w:spacing w:after="0"/>
        <w:rPr>
          <w:rFonts w:ascii="Times New Roman" w:hAnsi="Times New Roman"/>
          <w:sz w:val="24"/>
          <w:szCs w:val="24"/>
        </w:rPr>
      </w:pPr>
    </w:p>
    <w:p w14:paraId="138E9332" w14:textId="77777777" w:rsidR="00AB4932" w:rsidRDefault="001F7A02" w:rsidP="007F4BA8">
      <w:pPr>
        <w:spacing w:after="0"/>
        <w:rPr>
          <w:rFonts w:ascii="Times New Roman" w:hAnsi="Times New Roman"/>
          <w:sz w:val="24"/>
          <w:szCs w:val="24"/>
        </w:rPr>
      </w:pPr>
      <w:r>
        <w:rPr>
          <w:rFonts w:ascii="Times New Roman" w:hAnsi="Times New Roman"/>
          <w:sz w:val="24"/>
          <w:szCs w:val="24"/>
        </w:rPr>
        <w:t xml:space="preserve">The expected RTS date for Unit 18 is now </w:t>
      </w:r>
      <w:r w:rsidR="00AB4932">
        <w:rPr>
          <w:rFonts w:ascii="Times New Roman" w:hAnsi="Times New Roman"/>
          <w:sz w:val="24"/>
          <w:szCs w:val="24"/>
        </w:rPr>
        <w:t>15</w:t>
      </w:r>
      <w:r>
        <w:rPr>
          <w:rFonts w:ascii="Times New Roman" w:hAnsi="Times New Roman"/>
          <w:sz w:val="24"/>
          <w:szCs w:val="24"/>
        </w:rPr>
        <w:t xml:space="preserve"> May 2025. This new expected RTS date will fall outside of the </w:t>
      </w:r>
      <w:r w:rsidR="007254A9">
        <w:rPr>
          <w:rFonts w:ascii="Times New Roman" w:hAnsi="Times New Roman"/>
          <w:sz w:val="24"/>
          <w:szCs w:val="24"/>
        </w:rPr>
        <w:t xml:space="preserve">Turbine Unit Maintenance work window outlined in the 2024 FPP in Section 4.3.2., which states “Priority unit maintenance will be scheduled for the winter maintenance period or when there are few fish passing the project, to the extent possible. Priority units 1, 10, 11, and 18 will be scheduled for any necessary outages between December 1 and April 30.” </w:t>
      </w:r>
    </w:p>
    <w:p w14:paraId="3D30A69E" w14:textId="77777777" w:rsidR="00AB4932" w:rsidRDefault="00AB4932" w:rsidP="007F4BA8">
      <w:pPr>
        <w:spacing w:after="0"/>
        <w:rPr>
          <w:rFonts w:ascii="Times New Roman" w:hAnsi="Times New Roman"/>
          <w:sz w:val="24"/>
          <w:szCs w:val="24"/>
        </w:rPr>
      </w:pPr>
    </w:p>
    <w:p w14:paraId="3EE8376E" w14:textId="72DFE04A" w:rsidR="008F5ADE" w:rsidRDefault="00AB4932" w:rsidP="007F4BA8">
      <w:pPr>
        <w:spacing w:after="0"/>
        <w:rPr>
          <w:rFonts w:ascii="Times New Roman" w:hAnsi="Times New Roman"/>
          <w:sz w:val="24"/>
          <w:szCs w:val="24"/>
        </w:rPr>
      </w:pPr>
      <w:r>
        <w:rPr>
          <w:rFonts w:ascii="Times New Roman" w:hAnsi="Times New Roman"/>
          <w:sz w:val="24"/>
          <w:szCs w:val="24"/>
        </w:rPr>
        <w:t xml:space="preserve">When operational, Unit 18’s outflow provides attraction flow to the adjacent fishway ladder entrances at the North Monolith of the Washington Shore Fishway. </w:t>
      </w:r>
      <w:r w:rsidR="008F5ADE">
        <w:rPr>
          <w:rFonts w:ascii="Times New Roman" w:hAnsi="Times New Roman"/>
          <w:sz w:val="24"/>
          <w:szCs w:val="24"/>
        </w:rPr>
        <w:t xml:space="preserve">Unit 18 extended </w:t>
      </w:r>
      <w:r>
        <w:rPr>
          <w:rFonts w:ascii="Times New Roman" w:hAnsi="Times New Roman"/>
          <w:sz w:val="24"/>
          <w:szCs w:val="24"/>
        </w:rPr>
        <w:t xml:space="preserve">outage will impact the </w:t>
      </w:r>
      <w:r w:rsidR="008F5ADE">
        <w:rPr>
          <w:rFonts w:ascii="Times New Roman" w:hAnsi="Times New Roman"/>
          <w:sz w:val="24"/>
          <w:szCs w:val="24"/>
        </w:rPr>
        <w:t xml:space="preserve">adjacent </w:t>
      </w:r>
      <w:r>
        <w:rPr>
          <w:rFonts w:ascii="Times New Roman" w:hAnsi="Times New Roman"/>
          <w:sz w:val="24"/>
          <w:szCs w:val="24"/>
        </w:rPr>
        <w:t>outflow attraction flow benefits, however, the next available</w:t>
      </w:r>
      <w:r w:rsidR="008F5ADE">
        <w:rPr>
          <w:rFonts w:ascii="Times New Roman" w:hAnsi="Times New Roman"/>
          <w:sz w:val="24"/>
          <w:szCs w:val="24"/>
        </w:rPr>
        <w:t xml:space="preserve"> northern</w:t>
      </w:r>
      <w:r>
        <w:rPr>
          <w:rFonts w:ascii="Times New Roman" w:hAnsi="Times New Roman"/>
          <w:sz w:val="24"/>
          <w:szCs w:val="24"/>
        </w:rPr>
        <w:t xml:space="preserve"> unit </w:t>
      </w:r>
      <w:r>
        <w:rPr>
          <w:rFonts w:ascii="Times New Roman" w:hAnsi="Times New Roman"/>
          <w:sz w:val="24"/>
          <w:szCs w:val="24"/>
        </w:rPr>
        <w:lastRenderedPageBreak/>
        <w:t xml:space="preserve">will be run in Unit 18’s place following the unit priority order listed in Table BON-13 in the FPP to provide adjacent attraction flow to the </w:t>
      </w:r>
      <w:r w:rsidR="008F5ADE">
        <w:rPr>
          <w:rFonts w:ascii="Times New Roman" w:hAnsi="Times New Roman"/>
          <w:sz w:val="24"/>
          <w:szCs w:val="24"/>
        </w:rPr>
        <w:t>n</w:t>
      </w:r>
      <w:r>
        <w:rPr>
          <w:rFonts w:ascii="Times New Roman" w:hAnsi="Times New Roman"/>
          <w:sz w:val="24"/>
          <w:szCs w:val="24"/>
        </w:rPr>
        <w:t>orth entrances of the Washington Shore Fishway. Unit 11 outflow will provide adjacent attraction flow to the South Monolith fishway entrances, and all Washington Shore Fishway entrances will maintain proper</w:t>
      </w:r>
      <w:r w:rsidR="00FE244C">
        <w:rPr>
          <w:rFonts w:ascii="Times New Roman" w:hAnsi="Times New Roman"/>
          <w:sz w:val="24"/>
          <w:szCs w:val="24"/>
        </w:rPr>
        <w:t xml:space="preserve"> FPP</w:t>
      </w:r>
      <w:r>
        <w:rPr>
          <w:rFonts w:ascii="Times New Roman" w:hAnsi="Times New Roman"/>
          <w:sz w:val="24"/>
          <w:szCs w:val="24"/>
        </w:rPr>
        <w:t xml:space="preserve"> entrance head differentials</w:t>
      </w:r>
      <w:r w:rsidR="00753BA6">
        <w:rPr>
          <w:rFonts w:ascii="Times New Roman" w:hAnsi="Times New Roman"/>
          <w:sz w:val="24"/>
          <w:szCs w:val="24"/>
        </w:rPr>
        <w:t xml:space="preserve"> upon completion of the Washington Shore Flow Control redesign construction</w:t>
      </w:r>
      <w:r>
        <w:rPr>
          <w:rFonts w:ascii="Times New Roman" w:hAnsi="Times New Roman"/>
          <w:sz w:val="24"/>
          <w:szCs w:val="24"/>
        </w:rPr>
        <w:t>.</w:t>
      </w:r>
      <w:r w:rsidR="00753BA6">
        <w:rPr>
          <w:rFonts w:ascii="Times New Roman" w:hAnsi="Times New Roman"/>
          <w:sz w:val="24"/>
          <w:szCs w:val="24"/>
        </w:rPr>
        <w:t xml:space="preserve"> For operations during the period of 01 March-15 March, please refer to status updates of 24BON063</w:t>
      </w:r>
      <w:r w:rsidR="00753BA6" w:rsidRPr="00753BA6">
        <w:rPr>
          <w:rFonts w:ascii="Times New Roman" w:hAnsi="Times New Roman"/>
          <w:sz w:val="24"/>
          <w:szCs w:val="24"/>
        </w:rPr>
        <w:t xml:space="preserve"> </w:t>
      </w:r>
      <w:r w:rsidR="00753BA6">
        <w:rPr>
          <w:rFonts w:ascii="Times New Roman" w:hAnsi="Times New Roman"/>
          <w:sz w:val="24"/>
          <w:szCs w:val="24"/>
        </w:rPr>
        <w:t>MOC</w:t>
      </w:r>
      <w:r w:rsidR="00753BA6">
        <w:rPr>
          <w:rFonts w:ascii="Times New Roman" w:hAnsi="Times New Roman"/>
          <w:sz w:val="24"/>
          <w:szCs w:val="24"/>
        </w:rPr>
        <w:t xml:space="preserve"> “WA Shore Control Section Work Extension”. </w:t>
      </w:r>
    </w:p>
    <w:p w14:paraId="47F33277" w14:textId="77777777" w:rsidR="007254A9" w:rsidRDefault="007254A9" w:rsidP="007F4BA8">
      <w:pPr>
        <w:spacing w:after="0"/>
        <w:rPr>
          <w:rFonts w:ascii="Times New Roman" w:hAnsi="Times New Roman"/>
          <w:sz w:val="24"/>
          <w:szCs w:val="24"/>
        </w:rPr>
      </w:pPr>
    </w:p>
    <w:p w14:paraId="1138CC5F" w14:textId="2B1EF661" w:rsidR="00C957BA" w:rsidRPr="00AB4932" w:rsidRDefault="007F4BA8" w:rsidP="00A507B7">
      <w:pPr>
        <w:pStyle w:val="ListParagraph"/>
        <w:numPr>
          <w:ilvl w:val="0"/>
          <w:numId w:val="2"/>
        </w:numPr>
        <w:spacing w:after="0"/>
        <w:rPr>
          <w:rFonts w:ascii="Times New Roman" w:hAnsi="Times New Roman"/>
          <w:i/>
          <w:iCs/>
          <w:sz w:val="24"/>
          <w:szCs w:val="24"/>
        </w:rPr>
      </w:pPr>
      <w:r w:rsidRPr="00AB4932">
        <w:rPr>
          <w:rFonts w:ascii="Times New Roman" w:hAnsi="Times New Roman"/>
          <w:sz w:val="24"/>
          <w:szCs w:val="24"/>
        </w:rPr>
        <w:t xml:space="preserve">Species – </w:t>
      </w:r>
      <w:r w:rsidR="007254A9" w:rsidRPr="00AB4932">
        <w:rPr>
          <w:rFonts w:ascii="Times New Roman" w:hAnsi="Times New Roman"/>
          <w:sz w:val="24"/>
          <w:szCs w:val="24"/>
        </w:rPr>
        <w:t>This outage will occur during the historical timing of the Spring Chinook (</w:t>
      </w:r>
      <w:r w:rsidR="007254A9" w:rsidRPr="00AB4932">
        <w:rPr>
          <w:rFonts w:ascii="Times New Roman" w:hAnsi="Times New Roman"/>
          <w:i/>
          <w:iCs/>
          <w:sz w:val="24"/>
          <w:szCs w:val="24"/>
        </w:rPr>
        <w:t>Oncorhynchus tshawytscha</w:t>
      </w:r>
      <w:r w:rsidR="007254A9" w:rsidRPr="00AB4932">
        <w:rPr>
          <w:rFonts w:ascii="Times New Roman" w:hAnsi="Times New Roman"/>
          <w:sz w:val="24"/>
          <w:szCs w:val="24"/>
        </w:rPr>
        <w:t xml:space="preserve">) </w:t>
      </w:r>
      <w:r w:rsidR="004B6412" w:rsidRPr="00AB4932">
        <w:rPr>
          <w:rFonts w:ascii="Times New Roman" w:hAnsi="Times New Roman"/>
          <w:sz w:val="24"/>
          <w:szCs w:val="24"/>
        </w:rPr>
        <w:t>passage dates</w:t>
      </w:r>
      <w:r w:rsidR="007254A9" w:rsidRPr="00AB4932">
        <w:rPr>
          <w:rFonts w:ascii="Times New Roman" w:hAnsi="Times New Roman"/>
          <w:sz w:val="24"/>
          <w:szCs w:val="24"/>
        </w:rPr>
        <w:t>, the beginning of historic Pacific Lamprey (</w:t>
      </w:r>
      <w:proofErr w:type="spellStart"/>
      <w:r w:rsidR="007254A9" w:rsidRPr="00AB4932">
        <w:rPr>
          <w:rFonts w:ascii="Times New Roman" w:hAnsi="Times New Roman"/>
          <w:i/>
          <w:iCs/>
          <w:sz w:val="24"/>
          <w:szCs w:val="24"/>
        </w:rPr>
        <w:t>Entosphenus</w:t>
      </w:r>
      <w:proofErr w:type="spellEnd"/>
      <w:r w:rsidR="007254A9" w:rsidRPr="00AB4932">
        <w:rPr>
          <w:rFonts w:ascii="Times New Roman" w:hAnsi="Times New Roman"/>
          <w:i/>
          <w:iCs/>
          <w:sz w:val="24"/>
          <w:szCs w:val="24"/>
        </w:rPr>
        <w:t xml:space="preserve"> </w:t>
      </w:r>
      <w:proofErr w:type="spellStart"/>
      <w:r w:rsidR="007254A9" w:rsidRPr="00AB4932">
        <w:rPr>
          <w:rFonts w:ascii="Times New Roman" w:hAnsi="Times New Roman"/>
          <w:i/>
          <w:iCs/>
          <w:sz w:val="24"/>
          <w:szCs w:val="24"/>
        </w:rPr>
        <w:t>tridentatus</w:t>
      </w:r>
      <w:proofErr w:type="spellEnd"/>
      <w:r w:rsidR="007254A9" w:rsidRPr="00AB4932">
        <w:rPr>
          <w:rFonts w:ascii="Times New Roman" w:hAnsi="Times New Roman"/>
          <w:sz w:val="24"/>
          <w:szCs w:val="24"/>
        </w:rPr>
        <w:t>)</w:t>
      </w:r>
      <w:r w:rsidR="004B6412" w:rsidRPr="00AB4932">
        <w:rPr>
          <w:rFonts w:ascii="Times New Roman" w:hAnsi="Times New Roman"/>
          <w:sz w:val="24"/>
          <w:szCs w:val="24"/>
        </w:rPr>
        <w:t xml:space="preserve"> passage dates, and during ongoing year-round Steelhead (</w:t>
      </w:r>
      <w:proofErr w:type="spellStart"/>
      <w:r w:rsidR="004B6412" w:rsidRPr="00AB4932">
        <w:rPr>
          <w:rFonts w:ascii="Times New Roman" w:hAnsi="Times New Roman"/>
          <w:i/>
          <w:iCs/>
          <w:sz w:val="24"/>
          <w:szCs w:val="24"/>
        </w:rPr>
        <w:t>Oncohynchus</w:t>
      </w:r>
      <w:proofErr w:type="spellEnd"/>
      <w:r w:rsidR="004B6412" w:rsidRPr="00AB4932">
        <w:rPr>
          <w:rFonts w:ascii="Times New Roman" w:hAnsi="Times New Roman"/>
          <w:i/>
          <w:iCs/>
          <w:sz w:val="24"/>
          <w:szCs w:val="24"/>
        </w:rPr>
        <w:t xml:space="preserve"> mykiss</w:t>
      </w:r>
      <w:r w:rsidR="004B6412" w:rsidRPr="00AB4932">
        <w:rPr>
          <w:rFonts w:ascii="Times New Roman" w:hAnsi="Times New Roman"/>
          <w:sz w:val="24"/>
          <w:szCs w:val="24"/>
        </w:rPr>
        <w:t xml:space="preserve">) passage. </w:t>
      </w:r>
    </w:p>
    <w:p w14:paraId="396F21BE" w14:textId="44C1B806"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Origin – </w:t>
      </w:r>
      <w:r w:rsidR="00841E36">
        <w:rPr>
          <w:rFonts w:ascii="Times New Roman" w:hAnsi="Times New Roman"/>
          <w:sz w:val="24"/>
          <w:szCs w:val="24"/>
        </w:rPr>
        <w:t xml:space="preserve"> </w:t>
      </w:r>
      <w:r w:rsidR="00AB4932">
        <w:rPr>
          <w:rFonts w:ascii="Times New Roman" w:hAnsi="Times New Roman"/>
          <w:sz w:val="24"/>
          <w:szCs w:val="24"/>
        </w:rPr>
        <w:t>NA</w:t>
      </w:r>
    </w:p>
    <w:p w14:paraId="776E5B53" w14:textId="449A312D"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Length –</w:t>
      </w:r>
      <w:r w:rsidR="00B02BDC">
        <w:rPr>
          <w:rFonts w:ascii="Times New Roman" w:hAnsi="Times New Roman"/>
          <w:sz w:val="24"/>
          <w:szCs w:val="24"/>
        </w:rPr>
        <w:t xml:space="preserve"> </w:t>
      </w:r>
      <w:r w:rsidR="00AB4932">
        <w:rPr>
          <w:rFonts w:ascii="Times New Roman" w:hAnsi="Times New Roman"/>
          <w:sz w:val="24"/>
          <w:szCs w:val="24"/>
        </w:rPr>
        <w:t>NA</w:t>
      </w:r>
    </w:p>
    <w:p w14:paraId="5FB27CCE" w14:textId="1ACF01D2"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tags – </w:t>
      </w:r>
      <w:r w:rsidR="00AB4932">
        <w:rPr>
          <w:rFonts w:ascii="Times New Roman" w:hAnsi="Times New Roman"/>
          <w:sz w:val="24"/>
          <w:szCs w:val="24"/>
        </w:rPr>
        <w:t>NA</w:t>
      </w:r>
    </w:p>
    <w:p w14:paraId="5D6ADC33" w14:textId="2A04800C" w:rsidR="007F4BA8" w:rsidRDefault="007F4BA8" w:rsidP="007F4BA8">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 xml:space="preserve">Marks and Injuries found on carcass – </w:t>
      </w:r>
      <w:r w:rsidR="00AB4932">
        <w:rPr>
          <w:rFonts w:ascii="Times New Roman" w:hAnsi="Times New Roman"/>
          <w:sz w:val="24"/>
          <w:szCs w:val="24"/>
        </w:rPr>
        <w:t>NA</w:t>
      </w:r>
    </w:p>
    <w:p w14:paraId="678E89E9" w14:textId="686A2E5B" w:rsidR="007F4BA8" w:rsidRDefault="007F4BA8" w:rsidP="007F4BA8">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Cause and Time of Death – </w:t>
      </w:r>
      <w:r w:rsidR="00AB4932">
        <w:rPr>
          <w:rFonts w:ascii="Times New Roman" w:hAnsi="Times New Roman"/>
          <w:sz w:val="24"/>
          <w:szCs w:val="24"/>
        </w:rPr>
        <w:t>NA</w:t>
      </w:r>
    </w:p>
    <w:p w14:paraId="38AFF551" w14:textId="0760C10C" w:rsidR="00B45013" w:rsidRPr="0088331B" w:rsidRDefault="007F4BA8" w:rsidP="0088331B">
      <w:pPr>
        <w:pStyle w:val="ListParagraph"/>
        <w:numPr>
          <w:ilvl w:val="0"/>
          <w:numId w:val="2"/>
        </w:numPr>
        <w:spacing w:after="0"/>
        <w:rPr>
          <w:rFonts w:ascii="Times New Roman" w:hAnsi="Times New Roman"/>
          <w:sz w:val="24"/>
          <w:szCs w:val="24"/>
        </w:rPr>
      </w:pPr>
      <w:r w:rsidRPr="007F4BA8">
        <w:rPr>
          <w:rFonts w:ascii="Times New Roman" w:hAnsi="Times New Roman"/>
          <w:sz w:val="24"/>
          <w:szCs w:val="24"/>
        </w:rPr>
        <w:t>Future and Preventative Measures –</w:t>
      </w:r>
      <w:r w:rsidR="00AB4932">
        <w:rPr>
          <w:rFonts w:ascii="Times New Roman" w:hAnsi="Times New Roman"/>
          <w:sz w:val="24"/>
          <w:szCs w:val="24"/>
        </w:rPr>
        <w:t xml:space="preserve"> NA</w:t>
      </w:r>
    </w:p>
    <w:p w14:paraId="59DBD540" w14:textId="77777777" w:rsidR="00B45013" w:rsidRDefault="00B45013" w:rsidP="00841E36">
      <w:pPr>
        <w:pStyle w:val="ListParagraph"/>
        <w:spacing w:after="0"/>
        <w:ind w:left="360"/>
        <w:rPr>
          <w:rFonts w:ascii="Times New Roman" w:hAnsi="Times New Roman"/>
          <w:sz w:val="24"/>
          <w:szCs w:val="24"/>
        </w:rPr>
      </w:pPr>
    </w:p>
    <w:p w14:paraId="0D5C9C92" w14:textId="77777777" w:rsidR="00B45013" w:rsidRDefault="00B45013" w:rsidP="00841E36">
      <w:pPr>
        <w:pStyle w:val="ListParagraph"/>
        <w:spacing w:after="0"/>
        <w:ind w:left="360"/>
        <w:rPr>
          <w:rFonts w:ascii="Times New Roman" w:hAnsi="Times New Roman"/>
          <w:sz w:val="24"/>
          <w:szCs w:val="24"/>
        </w:rPr>
      </w:pPr>
    </w:p>
    <w:p w14:paraId="4230C01C" w14:textId="77777777" w:rsidR="00027946" w:rsidRDefault="00027946" w:rsidP="0088331B">
      <w:pPr>
        <w:spacing w:after="0"/>
        <w:rPr>
          <w:rFonts w:ascii="Times New Roman" w:hAnsi="Times New Roman"/>
          <w:sz w:val="24"/>
          <w:szCs w:val="24"/>
        </w:rPr>
      </w:pPr>
    </w:p>
    <w:p w14:paraId="1C4EEDFB" w14:textId="77777777" w:rsidR="000B070C" w:rsidRDefault="000B070C" w:rsidP="00D139A0">
      <w:pPr>
        <w:spacing w:after="0"/>
        <w:ind w:left="1440"/>
        <w:jc w:val="right"/>
        <w:rPr>
          <w:rFonts w:ascii="Times New Roman" w:hAnsi="Times New Roman"/>
          <w:sz w:val="24"/>
          <w:szCs w:val="24"/>
        </w:rPr>
      </w:pPr>
    </w:p>
    <w:p w14:paraId="49E75FE8" w14:textId="77777777" w:rsidR="000B070C" w:rsidRDefault="000B070C" w:rsidP="00D139A0">
      <w:pPr>
        <w:spacing w:after="0"/>
        <w:ind w:left="1440"/>
        <w:jc w:val="right"/>
        <w:rPr>
          <w:rFonts w:ascii="Times New Roman" w:hAnsi="Times New Roman"/>
          <w:sz w:val="24"/>
          <w:szCs w:val="24"/>
        </w:rPr>
      </w:pPr>
    </w:p>
    <w:p w14:paraId="0C617DA5" w14:textId="7F3B92C4" w:rsidR="00CD29C1" w:rsidRPr="007F4BA8" w:rsidRDefault="00CD29C1" w:rsidP="00D139A0">
      <w:pPr>
        <w:spacing w:after="0"/>
        <w:ind w:left="1440"/>
        <w:jc w:val="right"/>
        <w:rPr>
          <w:rFonts w:ascii="Times New Roman" w:hAnsi="Times New Roman"/>
          <w:sz w:val="24"/>
          <w:szCs w:val="24"/>
        </w:rPr>
      </w:pPr>
      <w:r w:rsidRPr="007F4BA8">
        <w:rPr>
          <w:rFonts w:ascii="Times New Roman" w:hAnsi="Times New Roman"/>
          <w:sz w:val="24"/>
          <w:szCs w:val="24"/>
        </w:rPr>
        <w:t>Sincerely,</w:t>
      </w:r>
    </w:p>
    <w:p w14:paraId="131DCC74" w14:textId="25C0D9CC" w:rsidR="00CD29C1" w:rsidRPr="007F4BA8" w:rsidRDefault="002812A7" w:rsidP="00D139A0">
      <w:pPr>
        <w:spacing w:after="0"/>
        <w:ind w:left="5040" w:firstLine="72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p w14:paraId="793949BD" w14:textId="77777777" w:rsidR="00C82415" w:rsidRDefault="00C82415" w:rsidP="00D139A0">
      <w:pPr>
        <w:spacing w:after="0"/>
        <w:ind w:left="1440"/>
        <w:rPr>
          <w:rFonts w:ascii="Times New Roman" w:hAnsi="Times New Roman"/>
          <w:sz w:val="24"/>
          <w:szCs w:val="24"/>
        </w:rPr>
      </w:pPr>
      <w:r w:rsidRPr="007F4BA8">
        <w:rPr>
          <w:rFonts w:ascii="Times New Roman" w:hAnsi="Times New Roman"/>
          <w:sz w:val="24"/>
          <w:szCs w:val="24"/>
        </w:rPr>
        <w:t xml:space="preserve"> </w:t>
      </w:r>
    </w:p>
    <w:p w14:paraId="51DE1B7A" w14:textId="77777777" w:rsidR="00D139A0" w:rsidRDefault="00D139A0" w:rsidP="007F4BA8">
      <w:pPr>
        <w:spacing w:after="0"/>
        <w:rPr>
          <w:rFonts w:ascii="Times New Roman" w:hAnsi="Times New Roman"/>
          <w:sz w:val="24"/>
          <w:szCs w:val="24"/>
        </w:rPr>
      </w:pPr>
    </w:p>
    <w:p w14:paraId="4E2E3C73" w14:textId="77777777" w:rsidR="00D139A0" w:rsidRDefault="00D139A0" w:rsidP="007F4BA8">
      <w:pPr>
        <w:spacing w:after="0"/>
        <w:rPr>
          <w:rFonts w:ascii="Times New Roman" w:hAnsi="Times New Roman"/>
          <w:sz w:val="24"/>
          <w:szCs w:val="24"/>
        </w:rPr>
      </w:pPr>
    </w:p>
    <w:sectPr w:rsidR="00D139A0"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9B2841"/>
    <w:multiLevelType w:val="hybridMultilevel"/>
    <w:tmpl w:val="03A2A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62F"/>
    <w:multiLevelType w:val="hybridMultilevel"/>
    <w:tmpl w:val="FAEC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9513D"/>
    <w:multiLevelType w:val="hybridMultilevel"/>
    <w:tmpl w:val="07161578"/>
    <w:lvl w:ilvl="0" w:tplc="ED58DEA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391129">
    <w:abstractNumId w:val="0"/>
  </w:num>
  <w:num w:numId="2" w16cid:durableId="861823301">
    <w:abstractNumId w:val="3"/>
  </w:num>
  <w:num w:numId="3" w16cid:durableId="1541625818">
    <w:abstractNumId w:val="1"/>
  </w:num>
  <w:num w:numId="4" w16cid:durableId="60045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27946"/>
    <w:rsid w:val="000B070C"/>
    <w:rsid w:val="001F7A02"/>
    <w:rsid w:val="002812A7"/>
    <w:rsid w:val="00283B22"/>
    <w:rsid w:val="003663C7"/>
    <w:rsid w:val="003D6FE5"/>
    <w:rsid w:val="004B55D2"/>
    <w:rsid w:val="004B6412"/>
    <w:rsid w:val="005274C3"/>
    <w:rsid w:val="005E5074"/>
    <w:rsid w:val="006074CE"/>
    <w:rsid w:val="00622CA7"/>
    <w:rsid w:val="00646545"/>
    <w:rsid w:val="007254A9"/>
    <w:rsid w:val="00753BA6"/>
    <w:rsid w:val="007C62EE"/>
    <w:rsid w:val="007E1104"/>
    <w:rsid w:val="007F4BA8"/>
    <w:rsid w:val="00805CA4"/>
    <w:rsid w:val="00841E36"/>
    <w:rsid w:val="0088331B"/>
    <w:rsid w:val="008F5ADE"/>
    <w:rsid w:val="00947A73"/>
    <w:rsid w:val="009F1432"/>
    <w:rsid w:val="00AB4932"/>
    <w:rsid w:val="00B02BDC"/>
    <w:rsid w:val="00B45013"/>
    <w:rsid w:val="00BA2A6D"/>
    <w:rsid w:val="00C82415"/>
    <w:rsid w:val="00C957BA"/>
    <w:rsid w:val="00CD29C1"/>
    <w:rsid w:val="00D139A0"/>
    <w:rsid w:val="00E91A02"/>
    <w:rsid w:val="00EC182F"/>
    <w:rsid w:val="00F0738F"/>
    <w:rsid w:val="00F12FF3"/>
    <w:rsid w:val="00FE244C"/>
    <w:rsid w:val="00FE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docId w15:val="{87F344CE-58A3-4F7F-9376-7C222281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8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576</Words>
  <Characters>2823</Characters>
  <Application>Microsoft Office Word</Application>
  <DocSecurity>0</DocSecurity>
  <Lines>128</Lines>
  <Paragraphs>113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Owens, Jaselyn A CIV USARMY CENWP (USA)</cp:lastModifiedBy>
  <cp:revision>9</cp:revision>
  <dcterms:created xsi:type="dcterms:W3CDTF">2025-01-28T00:31:00Z</dcterms:created>
  <dcterms:modified xsi:type="dcterms:W3CDTF">2025-01-30T23:50:00Z</dcterms:modified>
</cp:coreProperties>
</file>